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杭州市基层法律服务所年度考核标准</w:t>
      </w:r>
    </w:p>
    <w:p>
      <w:pPr>
        <w:spacing w:line="520" w:lineRule="exact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（考核年度:202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/>
          <w:sz w:val="32"/>
          <w:szCs w:val="32"/>
        </w:rPr>
        <w:t>年）</w:t>
      </w:r>
    </w:p>
    <w:p>
      <w:pPr>
        <w:spacing w:line="520" w:lineRule="exact"/>
        <w:jc w:val="left"/>
        <w:rPr>
          <w:rFonts w:ascii="仿宋" w:hAnsi="仿宋" w:eastAsia="仿宋"/>
          <w:sz w:val="28"/>
          <w:szCs w:val="28"/>
        </w:rPr>
      </w:pPr>
    </w:p>
    <w:tbl>
      <w:tblPr>
        <w:tblStyle w:val="4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860"/>
        <w:gridCol w:w="4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</w:t>
            </w:r>
          </w:p>
        </w:tc>
        <w:tc>
          <w:tcPr>
            <w:tcW w:w="786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考核内容与分值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评分标准与处理方式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23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执业资质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（14分）</w:t>
            </w:r>
          </w:p>
        </w:tc>
        <w:tc>
          <w:tcPr>
            <w:tcW w:w="7860" w:type="dxa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有三名以上专职工作者（4分）；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不符扣4分，限期改正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60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有两名以上合伙人（4分）；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不符扣4分，限期改正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60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办公场所布局合理，有独立档案室，法工人均办公面积15平方米以上（2分）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无独立档案室扣1分，面积不达标的扣1分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60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无设立其他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办公场所的情形（2分）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不符扣2分，限期撤销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60" w:type="dxa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及时办理章程、负责人、住所、合伙人等变更手续（2分）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不符一项扣1分，限期改正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队伍建设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分）</w:t>
            </w:r>
          </w:p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color w:val="FF0000"/>
                <w:sz w:val="28"/>
                <w:szCs w:val="28"/>
                <w:lang w:val="en-US" w:eastAsia="zh-CN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60" w:type="dxa"/>
            <w:vAlign w:val="center"/>
          </w:tcPr>
          <w:p>
            <w:pPr>
              <w:spacing w:line="540" w:lineRule="exact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组织开展思想政治教育和职业道德、执业纪律教育及业务学习情况（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全年不少于4次，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少一次扣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1.5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60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对法工执业监督有制度有措施（4分）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不到位的酌情扣1-4分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60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建立并执行实习人员接收和管理制度，专人开展实习指导（2分）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不到位的酌情扣1-2分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60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及时注销、清退不符合执业条件的法工（2分）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不符扣2分，限期改正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60" w:type="dxa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遵守两个部颁规章有关执业道德和执业纪律情况（6分）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有效投诉的每件扣2分；行政处罚或行业处分，每件扣2分；收到主管部门责令整改意见或诫勉谈话每次2分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23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业务活动开展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</w:p>
          <w:p>
            <w:pPr>
              <w:spacing w:line="52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60" w:type="dxa"/>
            <w:tcBorders>
              <w:top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办件量、服务质量、业务收入、新业务拓展比上一年度有上升</w:t>
            </w:r>
          </w:p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（2分）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有下降的酌情扣1-2分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60" w:type="dxa"/>
            <w:tcBorders>
              <w:top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履行法律援助义务、开展村（社区）法律顾问和社会公益活动情况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未开展或质量不符合要求的酌情扣1-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23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内部管理制度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（3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分）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60" w:type="dxa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ind w:left="140" w:hanging="140" w:hanging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按照章程合伙协议召开合伙人会议并落实相关制度（4分）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每年合伙人会议不少于2次，不符酌情扣1-4分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60" w:type="dxa"/>
            <w:vAlign w:val="center"/>
          </w:tcPr>
          <w:p>
            <w:pPr>
              <w:spacing w:line="520" w:lineRule="exact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执行统一收结案审批、利益冲突审查、重大案件集体讨论、重大敏感案件请示报告、法工执业年度考核、投诉查处等内部管理制度（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未建立或实施不到位的，每项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扣 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60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公开执业证正本；法工姓名、执业证号、照片；收费项目、收费标准、投诉监督电话（4分）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不符一项扣1分，限期改正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60" w:type="dxa"/>
            <w:vAlign w:val="center"/>
          </w:tcPr>
          <w:p>
            <w:pPr>
              <w:widowControl/>
              <w:spacing w:line="540" w:lineRule="exact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法律服务所和法工人员在管理平台上登记的信息（基本信息、业务特长、个人简介、简历、社会职务、行政辅助人员、公章及党组织信息等）均准确无误，并及时更新（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信息不准确、不完善、未及时更新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一项扣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0.5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分，限期改正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60" w:type="dxa"/>
            <w:vAlign w:val="center"/>
          </w:tcPr>
          <w:p>
            <w:pPr>
              <w:widowControl/>
              <w:spacing w:line="540" w:lineRule="exac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执行财务收支和分配管理制度，留存事业发展、社会保障和奖励等资金（4分）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ind w:firstLine="700" w:firstLine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不符一项扣1分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60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建立并执行业务档案、执业档案管理制度（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不符酌情扣1-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60" w:type="dxa"/>
            <w:vAlign w:val="center"/>
          </w:tcPr>
          <w:p>
            <w:pPr>
              <w:widowControl/>
              <w:spacing w:line="540" w:lineRule="exac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与法工、辅助人员签订聘用合同，办理失业、养老、医疗等社会保险（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不符酌情扣1-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分，限期改正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60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依法纳税（2分）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不符扣2分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党建工作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</w:p>
        </w:tc>
        <w:tc>
          <w:tcPr>
            <w:tcW w:w="7860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建立党支部或联合党支部（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应建未建扣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分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限期改正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60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党支部或联合支部按要求落实“三会一课”等党务工作（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不符酌情扣1-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60" w:type="dxa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党员工作者组织关系结转管理到位并正常开展组织生活（3分）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应转未转扣3分,组织生活不正常酌情扣1-3分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完成司法行政机关和协会任务（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</w:p>
        </w:tc>
        <w:tc>
          <w:tcPr>
            <w:tcW w:w="7860" w:type="dxa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完成司法行政机关工作任务和整改要求（4分）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不符酌情扣1-4分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60" w:type="dxa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遵守协会章程，执行协会决议，完成协会指派的工作任务（3分）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不符酌情扣1-3分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60" w:type="dxa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参加行政机关和行业协会组织的培训或各类活动（3分）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不符酌情扣1-3分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7860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按规定交纳会费、执业责任保险费（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418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不符扣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分，限期改正</w:t>
            </w:r>
          </w:p>
        </w:tc>
      </w:tr>
      <w:bookmarkEnd w:id="0"/>
    </w:tbl>
    <w:p>
      <w:pPr>
        <w:spacing w:line="20" w:lineRule="exac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情况说明：</w:t>
      </w:r>
    </w:p>
    <w:p>
      <w:pPr>
        <w:spacing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 本标准根据《浙江省基层法律服务所年度考核实施办法）》第二章《考核内容》制定。</w:t>
      </w:r>
    </w:p>
    <w:p>
      <w:pPr>
        <w:spacing w:line="520" w:lineRule="exact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仿宋_GB2312" w:hAnsi="宋体" w:eastAsia="仿宋_GB2312"/>
          <w:sz w:val="28"/>
          <w:szCs w:val="28"/>
        </w:rPr>
        <w:t>2. 本标准基本分为100分，考核分数80分以上的为“合格”，不到80分的，及本标准处理方式为“限期改正”</w:t>
      </w:r>
    </w:p>
    <w:p>
      <w:pPr>
        <w:spacing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的，由主管司法局针对考核情况发出限期整改意见，暂缓年度考核。</w:t>
      </w:r>
    </w:p>
    <w:p>
      <w:pPr>
        <w:spacing w:line="40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 基层法律服务所有《实施办法》第十九条所列情形的，考核为不合格，与考核分数不挂钩。</w:t>
      </w:r>
    </w:p>
    <w:p>
      <w:pPr>
        <w:spacing w:line="40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 每项扣分以分值为限，扣完为止，不实行倒扣。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C8A"/>
    <w:rsid w:val="002002AC"/>
    <w:rsid w:val="004A6C8A"/>
    <w:rsid w:val="0055777A"/>
    <w:rsid w:val="0065662E"/>
    <w:rsid w:val="00696ECC"/>
    <w:rsid w:val="00902C98"/>
    <w:rsid w:val="0D713F34"/>
    <w:rsid w:val="1B99078D"/>
    <w:rsid w:val="1C6A2129"/>
    <w:rsid w:val="39C9767F"/>
    <w:rsid w:val="3E5325C6"/>
    <w:rsid w:val="3FE447EB"/>
    <w:rsid w:val="44A22C03"/>
    <w:rsid w:val="53096171"/>
    <w:rsid w:val="5A8354C2"/>
    <w:rsid w:val="5EDF0312"/>
    <w:rsid w:val="649E1CF1"/>
    <w:rsid w:val="64CA3455"/>
    <w:rsid w:val="69794D27"/>
    <w:rsid w:val="726227FC"/>
    <w:rsid w:val="791C71D2"/>
    <w:rsid w:val="7DC020C3"/>
    <w:rsid w:val="7F1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221</Words>
  <Characters>1265</Characters>
  <Lines>10</Lines>
  <Paragraphs>2</Paragraphs>
  <TotalTime>4</TotalTime>
  <ScaleCrop>false</ScaleCrop>
  <LinksUpToDate>false</LinksUpToDate>
  <CharactersWithSpaces>1484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2020-03-02T04:28:00Z</dcterms:created>
  <dc:creator>丁洁</dc:creator>
  <cp:lastModifiedBy>匿名用户</cp:lastModifiedBy>
  <dcterms:modified xsi:type="dcterms:W3CDTF">2022-02-14T02:17:26Z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E2A1A7C61B1149B69E65132ED4E9D3B5</vt:lpwstr>
  </property>
</Properties>
</file>